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utamento di destinazione d'uso avente rilevanza urbanistica - Autorizzazione (PdC)/silenzio-assenso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mutamento della destinazione d'uso avente rilevanza urbanistica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alva diversa previsione da parte delle leggi regionali costituisce mutamento rilevante della destinazione d'uso ogni forma di utilizzo dell'immobile o della singola unita' immobiliare diversa da quella originaria, ancorche' non accompagnata dall'esecuzione di opere edilizie, purche' tale da comportare l'assegnazione dell'immobile o dell'unita' immobiliare considerati ad una diversa categoria funzionale tra quelle elencate: residenziale; turistico ricettiva; produttiva direzionale; commerciale; ru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